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page" w:horzAnchor="margin" w:tblpXSpec="center" w:tblpY="481"/>
        <w:tblW w:w="10774" w:type="dxa"/>
        <w:tblLayout w:type="fixed"/>
        <w:tblLook w:val="04A0" w:firstRow="1" w:lastRow="0" w:firstColumn="1" w:lastColumn="0" w:noHBand="0" w:noVBand="1"/>
      </w:tblPr>
      <w:tblGrid>
        <w:gridCol w:w="562"/>
        <w:gridCol w:w="3686"/>
        <w:gridCol w:w="6526"/>
      </w:tblGrid>
      <w:tr w:rsidR="00107735" w:rsidRPr="002773C0" w:rsidTr="00823EF2">
        <w:trPr>
          <w:trHeight w:val="409"/>
        </w:trPr>
        <w:tc>
          <w:tcPr>
            <w:tcW w:w="562" w:type="dxa"/>
            <w:hideMark/>
          </w:tcPr>
          <w:p w:rsidR="00107735" w:rsidRPr="00F337F0" w:rsidRDefault="00107735" w:rsidP="00107735">
            <w:pPr>
              <w:ind w:left="-113" w:hanging="45"/>
              <w:rPr>
                <w:rFonts w:ascii="Times New Roman" w:hAnsi="Times New Roman" w:cs="Times New Roman"/>
              </w:rPr>
            </w:pPr>
            <w:r w:rsidRPr="00F337F0">
              <w:rPr>
                <w:rFonts w:ascii="Times New Roman" w:hAnsi="Times New Roman" w:cs="Times New Roman"/>
              </w:rPr>
              <w:t>№ п/п</w:t>
            </w:r>
          </w:p>
        </w:tc>
        <w:tc>
          <w:tcPr>
            <w:tcW w:w="3686" w:type="dxa"/>
            <w:hideMark/>
          </w:tcPr>
          <w:p w:rsidR="00107735" w:rsidRPr="00F337F0" w:rsidRDefault="00107735" w:rsidP="00107735">
            <w:pPr>
              <w:rPr>
                <w:rFonts w:ascii="Times New Roman" w:hAnsi="Times New Roman" w:cs="Times New Roman"/>
              </w:rPr>
            </w:pPr>
            <w:r w:rsidRPr="00F337F0">
              <w:rPr>
                <w:rFonts w:ascii="Times New Roman" w:hAnsi="Times New Roman" w:cs="Times New Roman"/>
              </w:rPr>
              <w:t>Поставленный вопрос</w:t>
            </w:r>
          </w:p>
        </w:tc>
        <w:tc>
          <w:tcPr>
            <w:tcW w:w="6526" w:type="dxa"/>
            <w:hideMark/>
          </w:tcPr>
          <w:p w:rsidR="00107735" w:rsidRPr="00F337F0" w:rsidRDefault="00107735" w:rsidP="00107735">
            <w:pPr>
              <w:rPr>
                <w:rFonts w:ascii="Times New Roman" w:hAnsi="Times New Roman" w:cs="Times New Roman"/>
              </w:rPr>
            </w:pPr>
            <w:r w:rsidRPr="00F337F0">
              <w:rPr>
                <w:rFonts w:ascii="Times New Roman" w:hAnsi="Times New Roman" w:cs="Times New Roman"/>
              </w:rPr>
              <w:t>Представленные предложения по решению вопроса</w:t>
            </w:r>
          </w:p>
        </w:tc>
      </w:tr>
      <w:tr w:rsidR="00107735" w:rsidRPr="002773C0" w:rsidTr="00823EF2">
        <w:trPr>
          <w:trHeight w:val="1875"/>
        </w:trPr>
        <w:tc>
          <w:tcPr>
            <w:tcW w:w="562" w:type="dxa"/>
          </w:tcPr>
          <w:p w:rsidR="00107735" w:rsidRPr="00F337F0" w:rsidRDefault="00107735" w:rsidP="00107735">
            <w:pPr>
              <w:rPr>
                <w:rFonts w:ascii="Times New Roman" w:hAnsi="Times New Roman" w:cs="Times New Roman"/>
              </w:rPr>
            </w:pPr>
            <w:r w:rsidRPr="00F337F0">
              <w:rPr>
                <w:rFonts w:ascii="Times New Roman" w:hAnsi="Times New Roman" w:cs="Times New Roman"/>
              </w:rPr>
              <w:t>1</w:t>
            </w:r>
          </w:p>
        </w:tc>
        <w:tc>
          <w:tcPr>
            <w:tcW w:w="3686" w:type="dxa"/>
          </w:tcPr>
          <w:p w:rsidR="00107735" w:rsidRPr="00F337F0" w:rsidRDefault="00823EF2" w:rsidP="00823EF2">
            <w:pPr>
              <w:tabs>
                <w:tab w:val="left" w:pos="4712"/>
              </w:tabs>
              <w:ind w:left="-108"/>
              <w:rPr>
                <w:rFonts w:ascii="Times New Roman" w:hAnsi="Times New Roman" w:cs="Times New Roman"/>
              </w:rPr>
            </w:pPr>
            <w:r w:rsidRPr="00F337F0">
              <w:rPr>
                <w:rFonts w:ascii="Times New Roman" w:hAnsi="Times New Roman" w:cs="Times New Roman"/>
              </w:rPr>
              <w:t xml:space="preserve">  В связи с быстрыми темпами развития законодательства о градостроительной деятельности прошу разъяснить процедуру внесения изменений в проектную документацию объекта капитального строительства в случае выявления в процессе строительства отклонений па</w:t>
            </w:r>
            <w:bookmarkStart w:id="0" w:name="_GoBack"/>
            <w:bookmarkEnd w:id="0"/>
            <w:r w:rsidRPr="00F337F0">
              <w:rPr>
                <w:rFonts w:ascii="Times New Roman" w:hAnsi="Times New Roman" w:cs="Times New Roman"/>
              </w:rPr>
              <w:t>раметров объекта капитального строительства от проектной документации.</w:t>
            </w:r>
          </w:p>
        </w:tc>
        <w:tc>
          <w:tcPr>
            <w:tcW w:w="6526" w:type="dxa"/>
          </w:tcPr>
          <w:p w:rsidR="00823EF2" w:rsidRPr="00F337F0" w:rsidRDefault="00823EF2" w:rsidP="00107735">
            <w:pPr>
              <w:rPr>
                <w:rFonts w:ascii="Times New Roman" w:hAnsi="Times New Roman" w:cs="Times New Roman"/>
              </w:rPr>
            </w:pPr>
            <w:r w:rsidRPr="00F337F0">
              <w:rPr>
                <w:rFonts w:ascii="Times New Roman" w:hAnsi="Times New Roman" w:cs="Times New Roman"/>
              </w:rPr>
              <w:t xml:space="preserve">  В соответствии с частью 7 статьи 52 Градостроительного кодекса Российской Федерации (далее – Кодекс)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частями 3_8 и 3_9 статьи 49 настоящего Кодекса.</w:t>
            </w:r>
          </w:p>
          <w:p w:rsidR="00823EF2" w:rsidRPr="00F337F0" w:rsidRDefault="00823EF2" w:rsidP="00107735">
            <w:pPr>
              <w:rPr>
                <w:rFonts w:ascii="Times New Roman" w:hAnsi="Times New Roman" w:cs="Times New Roman"/>
              </w:rPr>
            </w:pPr>
            <w:r w:rsidRPr="00F337F0">
              <w:rPr>
                <w:rFonts w:ascii="Times New Roman" w:hAnsi="Times New Roman" w:cs="Times New Roman"/>
              </w:rPr>
              <w:t>Согласно части 3_8 статьи 49 Кодекса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w:t>
            </w:r>
          </w:p>
          <w:p w:rsidR="00823EF2" w:rsidRPr="00F337F0" w:rsidRDefault="00823EF2" w:rsidP="00107735">
            <w:pPr>
              <w:rPr>
                <w:rFonts w:ascii="Times New Roman" w:hAnsi="Times New Roman" w:cs="Times New Roman"/>
              </w:rPr>
            </w:pPr>
            <w:r w:rsidRPr="00F337F0">
              <w:rPr>
                <w:rFonts w:ascii="Times New Roman" w:hAnsi="Times New Roman" w:cs="Times New Roman"/>
              </w:rP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823EF2" w:rsidRPr="00F337F0" w:rsidRDefault="00823EF2" w:rsidP="00107735">
            <w:pPr>
              <w:rPr>
                <w:rFonts w:ascii="Times New Roman" w:hAnsi="Times New Roman" w:cs="Times New Roman"/>
              </w:rPr>
            </w:pPr>
            <w:r w:rsidRPr="00F337F0">
              <w:rPr>
                <w:rFonts w:ascii="Times New Roman" w:hAnsi="Times New Roman" w:cs="Times New Roman"/>
              </w:rPr>
              <w:t>2) не влекут за собой изменение класса, категории и (или) первоначально установленных показателей функционирования линейных объектов;</w:t>
            </w:r>
          </w:p>
          <w:p w:rsidR="00823EF2" w:rsidRPr="00F337F0" w:rsidRDefault="00823EF2" w:rsidP="00107735">
            <w:pPr>
              <w:rPr>
                <w:rFonts w:ascii="Times New Roman" w:hAnsi="Times New Roman" w:cs="Times New Roman"/>
              </w:rPr>
            </w:pPr>
            <w:r w:rsidRPr="00F337F0">
              <w:rPr>
                <w:rFonts w:ascii="Times New Roman" w:hAnsi="Times New Roman" w:cs="Times New Roman"/>
              </w:rP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107735" w:rsidRPr="00F337F0" w:rsidRDefault="00823EF2" w:rsidP="00107735">
            <w:pPr>
              <w:rPr>
                <w:rFonts w:ascii="Times New Roman" w:hAnsi="Times New Roman" w:cs="Times New Roman"/>
              </w:rPr>
            </w:pPr>
            <w:r w:rsidRPr="00F337F0">
              <w:rPr>
                <w:rFonts w:ascii="Times New Roman" w:hAnsi="Times New Roman" w:cs="Times New Roman"/>
              </w:rPr>
              <w:t xml:space="preserve">4) соответствуют заданию застройщика или технического заказчика на проектирование, а также результатам инженерных изысканий;5)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w:t>
            </w:r>
            <w:proofErr w:type="spellStart"/>
            <w:r w:rsidRPr="00F337F0">
              <w:rPr>
                <w:rFonts w:ascii="Times New Roman" w:hAnsi="Times New Roman" w:cs="Times New Roman"/>
              </w:rPr>
              <w:t>Федерации.Согласно</w:t>
            </w:r>
            <w:proofErr w:type="spellEnd"/>
            <w:r w:rsidRPr="00F337F0">
              <w:rPr>
                <w:rFonts w:ascii="Times New Roman" w:hAnsi="Times New Roman" w:cs="Times New Roman"/>
              </w:rPr>
              <w:t xml:space="preserve"> части 3_9 статьи 49 Кодекса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w:t>
            </w:r>
            <w:r w:rsidRPr="00F337F0">
              <w:rPr>
                <w:rFonts w:ascii="Times New Roman" w:hAnsi="Times New Roman" w:cs="Times New Roman"/>
              </w:rPr>
              <w:lastRenderedPageBreak/>
              <w:t>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которые подтверждают соответствие внесенных в проектную документацию изменений указанным в настоящей части требованиям.</w:t>
            </w:r>
          </w:p>
        </w:tc>
      </w:tr>
      <w:tr w:rsidR="00107735" w:rsidRPr="002773C0" w:rsidTr="00823EF2">
        <w:trPr>
          <w:trHeight w:val="4500"/>
        </w:trPr>
        <w:tc>
          <w:tcPr>
            <w:tcW w:w="562" w:type="dxa"/>
          </w:tcPr>
          <w:p w:rsidR="00107735" w:rsidRPr="00F337F0" w:rsidRDefault="00107735" w:rsidP="00107735">
            <w:pPr>
              <w:rPr>
                <w:rFonts w:ascii="Times New Roman" w:hAnsi="Times New Roman" w:cs="Times New Roman"/>
              </w:rPr>
            </w:pPr>
            <w:r w:rsidRPr="00F337F0">
              <w:rPr>
                <w:rFonts w:ascii="Times New Roman" w:hAnsi="Times New Roman" w:cs="Times New Roman"/>
              </w:rPr>
              <w:lastRenderedPageBreak/>
              <w:t>2</w:t>
            </w:r>
          </w:p>
        </w:tc>
        <w:tc>
          <w:tcPr>
            <w:tcW w:w="3686" w:type="dxa"/>
          </w:tcPr>
          <w:p w:rsidR="00823EF2" w:rsidRPr="00F337F0" w:rsidRDefault="00823EF2" w:rsidP="00823EF2">
            <w:pPr>
              <w:rPr>
                <w:rFonts w:ascii="Times New Roman" w:hAnsi="Times New Roman" w:cs="Times New Roman"/>
              </w:rPr>
            </w:pPr>
            <w:r w:rsidRPr="00F337F0">
              <w:rPr>
                <w:rFonts w:ascii="Times New Roman" w:hAnsi="Times New Roman" w:cs="Times New Roman"/>
              </w:rPr>
              <w:t xml:space="preserve">Планируется покупка квартиры в Калининском административном округе г. Тюмени. Участок, на котором расположен жилой комплекс находится рядом с рекой Тура и защищён </w:t>
            </w:r>
            <w:proofErr w:type="spellStart"/>
            <w:r w:rsidRPr="00F337F0">
              <w:rPr>
                <w:rFonts w:ascii="Times New Roman" w:hAnsi="Times New Roman" w:cs="Times New Roman"/>
              </w:rPr>
              <w:t>противопаводковой</w:t>
            </w:r>
            <w:proofErr w:type="spellEnd"/>
            <w:r w:rsidRPr="00F337F0">
              <w:rPr>
                <w:rFonts w:ascii="Times New Roman" w:hAnsi="Times New Roman" w:cs="Times New Roman"/>
              </w:rPr>
              <w:t xml:space="preserve"> дамбой. </w:t>
            </w:r>
          </w:p>
          <w:p w:rsidR="00107735" w:rsidRPr="00F337F0" w:rsidRDefault="00823EF2" w:rsidP="00823EF2">
            <w:pPr>
              <w:rPr>
                <w:rFonts w:ascii="Times New Roman" w:hAnsi="Times New Roman" w:cs="Times New Roman"/>
              </w:rPr>
            </w:pPr>
            <w:r w:rsidRPr="00F337F0">
              <w:rPr>
                <w:rFonts w:ascii="Times New Roman" w:hAnsi="Times New Roman" w:cs="Times New Roman"/>
              </w:rPr>
              <w:t>Прошу разъяснить где регистрируются дамбы, можно ли эту информацию найти в интернете?</w:t>
            </w:r>
          </w:p>
        </w:tc>
        <w:tc>
          <w:tcPr>
            <w:tcW w:w="6526" w:type="dxa"/>
          </w:tcPr>
          <w:p w:rsidR="00823EF2" w:rsidRPr="00F337F0" w:rsidRDefault="00823EF2" w:rsidP="00823EF2">
            <w:pPr>
              <w:rPr>
                <w:rFonts w:ascii="Times New Roman" w:hAnsi="Times New Roman" w:cs="Times New Roman"/>
              </w:rPr>
            </w:pPr>
            <w:r w:rsidRPr="00F337F0">
              <w:rPr>
                <w:rFonts w:ascii="Times New Roman" w:hAnsi="Times New Roman" w:cs="Times New Roman"/>
              </w:rPr>
              <w:t xml:space="preserve">  Сооружения, предназначенные для защиты от наводнений, разрушений берегов и дна водохранилищ и предотвращения негативного воздействия вод, в соответствии со ст. 3 Федерального закона от 21.07.1997 № 117 «О безопасности гидротехнических сооружений» (далее – Федеральный закон № 117), относятся к гидротехническим сооружениям (далее - ГТС).</w:t>
            </w:r>
          </w:p>
          <w:p w:rsidR="00823EF2" w:rsidRPr="00F337F0" w:rsidRDefault="00823EF2" w:rsidP="00823EF2">
            <w:pPr>
              <w:rPr>
                <w:rFonts w:ascii="Times New Roman" w:hAnsi="Times New Roman" w:cs="Times New Roman"/>
              </w:rPr>
            </w:pPr>
            <w:r w:rsidRPr="00F337F0">
              <w:rPr>
                <w:rFonts w:ascii="Times New Roman" w:hAnsi="Times New Roman" w:cs="Times New Roman"/>
              </w:rPr>
              <w:t xml:space="preserve">На основании п. 4 Правил формирования и ведения Российского регистра ГТС, утвержденных постановлением Правительства Российской Федерации от 20.11.2020 № 1893 (далее – Правила), все ГТС, определенные статьей 3 Федерального закона </w:t>
            </w:r>
          </w:p>
          <w:p w:rsidR="00823EF2" w:rsidRPr="00F337F0" w:rsidRDefault="00823EF2" w:rsidP="00823EF2">
            <w:pPr>
              <w:rPr>
                <w:rFonts w:ascii="Times New Roman" w:hAnsi="Times New Roman" w:cs="Times New Roman"/>
              </w:rPr>
            </w:pPr>
            <w:r w:rsidRPr="00F337F0">
              <w:rPr>
                <w:rFonts w:ascii="Times New Roman" w:hAnsi="Times New Roman" w:cs="Times New Roman"/>
              </w:rPr>
              <w:t>№ 117 «О безопасности гидротехнических сооружений», повреждение которых может привести к возникновению чрезвычайных ситуаций, подлежат государственной регистрации и учету в Российском регистре ГТС (далее – Регистр).</w:t>
            </w:r>
          </w:p>
          <w:p w:rsidR="00823EF2" w:rsidRPr="00F337F0" w:rsidRDefault="00823EF2" w:rsidP="00823EF2">
            <w:pPr>
              <w:rPr>
                <w:rFonts w:ascii="Times New Roman" w:hAnsi="Times New Roman" w:cs="Times New Roman"/>
              </w:rPr>
            </w:pPr>
            <w:r w:rsidRPr="00F337F0">
              <w:rPr>
                <w:rFonts w:ascii="Times New Roman" w:hAnsi="Times New Roman" w:cs="Times New Roman"/>
              </w:rPr>
              <w:t>Главой VI Правил предусмотрен порядок предоставления информации, содержащейся в Регистре.</w:t>
            </w:r>
          </w:p>
          <w:p w:rsidR="00823EF2" w:rsidRPr="00F337F0" w:rsidRDefault="00823EF2" w:rsidP="00823EF2">
            <w:pPr>
              <w:rPr>
                <w:rFonts w:ascii="Times New Roman" w:hAnsi="Times New Roman" w:cs="Times New Roman"/>
              </w:rPr>
            </w:pPr>
            <w:r w:rsidRPr="00F337F0">
              <w:rPr>
                <w:rFonts w:ascii="Times New Roman" w:hAnsi="Times New Roman" w:cs="Times New Roman"/>
              </w:rPr>
              <w:t xml:space="preserve">Информация о ГТС, содержащаяся в Регистре, предоставляется Федеральной службой по экологическому, технологическому и атомному надзору посредством обеспечения доступа к основной информации о ГТС через официальный сайт Федеральной службы по экологическому, технологическому и атомному надзору </w:t>
            </w:r>
          </w:p>
          <w:p w:rsidR="00823EF2" w:rsidRPr="00F337F0" w:rsidRDefault="00823EF2" w:rsidP="00823EF2">
            <w:pPr>
              <w:rPr>
                <w:rFonts w:ascii="Times New Roman" w:hAnsi="Times New Roman" w:cs="Times New Roman"/>
              </w:rPr>
            </w:pPr>
            <w:r w:rsidRPr="00F337F0">
              <w:rPr>
                <w:rFonts w:ascii="Times New Roman" w:hAnsi="Times New Roman" w:cs="Times New Roman"/>
              </w:rPr>
              <w:t xml:space="preserve">в информационно-телекоммуникационной сети «Интернет» http://waterinfo.ru/ всем заинтересованным лицам без ограничения и регистрации. Основная информация </w:t>
            </w:r>
          </w:p>
          <w:p w:rsidR="00823EF2" w:rsidRPr="00F337F0" w:rsidRDefault="00823EF2" w:rsidP="00823EF2">
            <w:pPr>
              <w:rPr>
                <w:rFonts w:ascii="Times New Roman" w:hAnsi="Times New Roman" w:cs="Times New Roman"/>
              </w:rPr>
            </w:pPr>
            <w:r w:rsidRPr="00F337F0">
              <w:rPr>
                <w:rFonts w:ascii="Times New Roman" w:hAnsi="Times New Roman" w:cs="Times New Roman"/>
              </w:rPr>
              <w:t>о ГТС, размещаемая на официальном сайте Федеральной службы по экологическому, технологическому и атомному надзору в информационно-телекоммуникационной сети «Интернет», предоставляется в следующем составе:</w:t>
            </w:r>
          </w:p>
          <w:p w:rsidR="00823EF2" w:rsidRPr="00F337F0" w:rsidRDefault="00823EF2" w:rsidP="00823EF2">
            <w:pPr>
              <w:rPr>
                <w:rFonts w:ascii="Times New Roman" w:hAnsi="Times New Roman" w:cs="Times New Roman"/>
              </w:rPr>
            </w:pPr>
            <w:r w:rsidRPr="00F337F0">
              <w:rPr>
                <w:rFonts w:ascii="Times New Roman" w:hAnsi="Times New Roman" w:cs="Times New Roman"/>
              </w:rPr>
              <w:t>регистрационный код ГТС;</w:t>
            </w:r>
          </w:p>
          <w:p w:rsidR="00823EF2" w:rsidRPr="00F337F0" w:rsidRDefault="00823EF2" w:rsidP="00823EF2">
            <w:pPr>
              <w:rPr>
                <w:rFonts w:ascii="Times New Roman" w:hAnsi="Times New Roman" w:cs="Times New Roman"/>
              </w:rPr>
            </w:pPr>
            <w:r w:rsidRPr="00F337F0">
              <w:rPr>
                <w:rFonts w:ascii="Times New Roman" w:hAnsi="Times New Roman" w:cs="Times New Roman"/>
              </w:rPr>
              <w:t>наименование ГТС;</w:t>
            </w:r>
          </w:p>
          <w:p w:rsidR="00823EF2" w:rsidRPr="00F337F0" w:rsidRDefault="00823EF2" w:rsidP="00823EF2">
            <w:pPr>
              <w:rPr>
                <w:rFonts w:ascii="Times New Roman" w:hAnsi="Times New Roman" w:cs="Times New Roman"/>
              </w:rPr>
            </w:pPr>
            <w:r w:rsidRPr="00F337F0">
              <w:rPr>
                <w:rFonts w:ascii="Times New Roman" w:hAnsi="Times New Roman" w:cs="Times New Roman"/>
              </w:rPr>
              <w:t>наименование собственника ГТС и эксплуатирующей организации;</w:t>
            </w:r>
          </w:p>
          <w:p w:rsidR="00823EF2" w:rsidRPr="00F337F0" w:rsidRDefault="00823EF2" w:rsidP="00823EF2">
            <w:pPr>
              <w:rPr>
                <w:rFonts w:ascii="Times New Roman" w:hAnsi="Times New Roman" w:cs="Times New Roman"/>
              </w:rPr>
            </w:pPr>
            <w:r w:rsidRPr="00F337F0">
              <w:rPr>
                <w:rFonts w:ascii="Times New Roman" w:hAnsi="Times New Roman" w:cs="Times New Roman"/>
              </w:rPr>
              <w:t>субъект (субъекты) Российской Федерации, на территории которого расположено ГТС;</w:t>
            </w:r>
          </w:p>
          <w:p w:rsidR="00823EF2" w:rsidRPr="00F337F0" w:rsidRDefault="00823EF2" w:rsidP="00823EF2">
            <w:pPr>
              <w:rPr>
                <w:rFonts w:ascii="Times New Roman" w:hAnsi="Times New Roman" w:cs="Times New Roman"/>
              </w:rPr>
            </w:pPr>
            <w:r w:rsidRPr="00F337F0">
              <w:rPr>
                <w:rFonts w:ascii="Times New Roman" w:hAnsi="Times New Roman" w:cs="Times New Roman"/>
              </w:rPr>
              <w:t>орган государственного надзора;</w:t>
            </w:r>
          </w:p>
          <w:p w:rsidR="00107735" w:rsidRPr="00F337F0" w:rsidRDefault="00823EF2" w:rsidP="00823EF2">
            <w:pPr>
              <w:rPr>
                <w:rFonts w:ascii="Times New Roman" w:hAnsi="Times New Roman" w:cs="Times New Roman"/>
              </w:rPr>
            </w:pPr>
            <w:r w:rsidRPr="00F337F0">
              <w:rPr>
                <w:rFonts w:ascii="Times New Roman" w:hAnsi="Times New Roman" w:cs="Times New Roman"/>
              </w:rPr>
              <w:t>бассейновый округ.</w:t>
            </w:r>
          </w:p>
        </w:tc>
      </w:tr>
      <w:tr w:rsidR="00107735" w:rsidRPr="002773C0" w:rsidTr="00823EF2">
        <w:trPr>
          <w:trHeight w:val="692"/>
        </w:trPr>
        <w:tc>
          <w:tcPr>
            <w:tcW w:w="562" w:type="dxa"/>
          </w:tcPr>
          <w:p w:rsidR="00107735" w:rsidRPr="00F337F0" w:rsidRDefault="00107735" w:rsidP="00107735">
            <w:pPr>
              <w:rPr>
                <w:rFonts w:ascii="Times New Roman" w:hAnsi="Times New Roman" w:cs="Times New Roman"/>
              </w:rPr>
            </w:pPr>
            <w:r w:rsidRPr="00F337F0">
              <w:rPr>
                <w:rFonts w:ascii="Times New Roman" w:hAnsi="Times New Roman" w:cs="Times New Roman"/>
              </w:rPr>
              <w:t>3</w:t>
            </w:r>
          </w:p>
        </w:tc>
        <w:tc>
          <w:tcPr>
            <w:tcW w:w="3686" w:type="dxa"/>
          </w:tcPr>
          <w:p w:rsidR="00107735" w:rsidRPr="00F337F0" w:rsidRDefault="00823EF2" w:rsidP="00107735">
            <w:pPr>
              <w:rPr>
                <w:rFonts w:ascii="Times New Roman" w:hAnsi="Times New Roman" w:cs="Times New Roman"/>
              </w:rPr>
            </w:pPr>
            <w:r w:rsidRPr="00F337F0">
              <w:rPr>
                <w:rFonts w:ascii="Times New Roman" w:hAnsi="Times New Roman" w:cs="Times New Roman"/>
              </w:rPr>
              <w:t>При выполнении своих функциональных обязанностей по эксплуатации тепловых энергоустановок у меня возникает вопрос, может ли быть возложена на работника из числа управленческого персонала и специалистов, не имеющего специального теплоэнергетического образования ответственность за исправное состояние и безопасную эксплуатацию тепловых энергоустановок в организации?</w:t>
            </w:r>
          </w:p>
        </w:tc>
        <w:tc>
          <w:tcPr>
            <w:tcW w:w="6526" w:type="dxa"/>
          </w:tcPr>
          <w:p w:rsidR="00823EF2" w:rsidRPr="00F337F0" w:rsidRDefault="00823EF2" w:rsidP="00823EF2">
            <w:pPr>
              <w:rPr>
                <w:rFonts w:ascii="Times New Roman" w:hAnsi="Times New Roman" w:cs="Times New Roman"/>
              </w:rPr>
            </w:pPr>
            <w:r w:rsidRPr="00F337F0">
              <w:rPr>
                <w:rFonts w:ascii="Times New Roman" w:hAnsi="Times New Roman" w:cs="Times New Roman"/>
              </w:rPr>
              <w:t xml:space="preserve">При потреблении тепловой энергии только для отопления, вентиляции </w:t>
            </w:r>
          </w:p>
          <w:p w:rsidR="00823EF2" w:rsidRPr="00F337F0" w:rsidRDefault="00823EF2" w:rsidP="00823EF2">
            <w:pPr>
              <w:rPr>
                <w:rFonts w:ascii="Times New Roman" w:hAnsi="Times New Roman" w:cs="Times New Roman"/>
              </w:rPr>
            </w:pPr>
            <w:r w:rsidRPr="00F337F0">
              <w:rPr>
                <w:rFonts w:ascii="Times New Roman" w:hAnsi="Times New Roman" w:cs="Times New Roman"/>
              </w:rPr>
              <w:t xml:space="preserve">и горячего водоснабжения ответственность за исправное состояние и безопасную эксплуатацию тепловых энергоустановок может быть возложена на работника </w:t>
            </w:r>
          </w:p>
          <w:p w:rsidR="00823EF2" w:rsidRPr="00F337F0" w:rsidRDefault="00823EF2" w:rsidP="00823EF2">
            <w:pPr>
              <w:rPr>
                <w:rFonts w:ascii="Times New Roman" w:hAnsi="Times New Roman" w:cs="Times New Roman"/>
              </w:rPr>
            </w:pPr>
            <w:r w:rsidRPr="00F337F0">
              <w:rPr>
                <w:rFonts w:ascii="Times New Roman" w:hAnsi="Times New Roman" w:cs="Times New Roman"/>
              </w:rPr>
              <w:t xml:space="preserve">из числа управленческого персонала и специалистов, не имеющего специального теплоэнергетического образования, но прошедшего обучение и проверку знаний </w:t>
            </w:r>
          </w:p>
          <w:p w:rsidR="00823EF2" w:rsidRPr="00F337F0" w:rsidRDefault="00823EF2" w:rsidP="00823EF2">
            <w:pPr>
              <w:rPr>
                <w:rFonts w:ascii="Times New Roman" w:hAnsi="Times New Roman" w:cs="Times New Roman"/>
              </w:rPr>
            </w:pPr>
            <w:r w:rsidRPr="00F337F0">
              <w:rPr>
                <w:rFonts w:ascii="Times New Roman" w:hAnsi="Times New Roman" w:cs="Times New Roman"/>
              </w:rPr>
              <w:t xml:space="preserve">в порядке, установленном п.2.3.3 Правилами технической эксплуатации тепловых энергоустановок, утвержденных приказом Минэнерго Российской Федерации </w:t>
            </w:r>
          </w:p>
          <w:p w:rsidR="00107735" w:rsidRPr="00F337F0" w:rsidRDefault="00823EF2" w:rsidP="00823EF2">
            <w:pPr>
              <w:rPr>
                <w:rFonts w:ascii="Times New Roman" w:hAnsi="Times New Roman" w:cs="Times New Roman"/>
              </w:rPr>
            </w:pPr>
            <w:r w:rsidRPr="00F337F0">
              <w:rPr>
                <w:rFonts w:ascii="Times New Roman" w:hAnsi="Times New Roman" w:cs="Times New Roman"/>
              </w:rPr>
              <w:t>от 24.03.2003 № 115.</w:t>
            </w:r>
          </w:p>
        </w:tc>
      </w:tr>
      <w:tr w:rsidR="00107735" w:rsidRPr="002773C0" w:rsidTr="00823EF2">
        <w:trPr>
          <w:trHeight w:val="841"/>
        </w:trPr>
        <w:tc>
          <w:tcPr>
            <w:tcW w:w="562" w:type="dxa"/>
          </w:tcPr>
          <w:p w:rsidR="00107735" w:rsidRPr="00F337F0" w:rsidRDefault="00107735" w:rsidP="00107735">
            <w:pPr>
              <w:rPr>
                <w:rFonts w:ascii="Times New Roman" w:hAnsi="Times New Roman" w:cs="Times New Roman"/>
              </w:rPr>
            </w:pPr>
            <w:r w:rsidRPr="00F337F0">
              <w:rPr>
                <w:rFonts w:ascii="Times New Roman" w:hAnsi="Times New Roman" w:cs="Times New Roman"/>
              </w:rPr>
              <w:t>4</w:t>
            </w:r>
          </w:p>
        </w:tc>
        <w:tc>
          <w:tcPr>
            <w:tcW w:w="3686" w:type="dxa"/>
          </w:tcPr>
          <w:p w:rsidR="00107735" w:rsidRPr="00F337F0" w:rsidRDefault="000077E1" w:rsidP="00107735">
            <w:pPr>
              <w:rPr>
                <w:rFonts w:ascii="Times New Roman" w:hAnsi="Times New Roman" w:cs="Times New Roman"/>
              </w:rPr>
            </w:pPr>
            <w:r w:rsidRPr="00F337F0">
              <w:rPr>
                <w:rFonts w:ascii="Times New Roman" w:hAnsi="Times New Roman" w:cs="Times New Roman"/>
              </w:rPr>
              <w:t>Возможна ли установка на башенные краны светодиодной ленты с рекламой застройщика</w:t>
            </w:r>
          </w:p>
        </w:tc>
        <w:tc>
          <w:tcPr>
            <w:tcW w:w="6526" w:type="dxa"/>
          </w:tcPr>
          <w:p w:rsidR="000077E1" w:rsidRPr="00F337F0" w:rsidRDefault="000077E1" w:rsidP="000077E1">
            <w:pPr>
              <w:rPr>
                <w:rFonts w:ascii="Times New Roman" w:hAnsi="Times New Roman" w:cs="Times New Roman"/>
              </w:rPr>
            </w:pPr>
            <w:r w:rsidRPr="00F337F0">
              <w:rPr>
                <w:rFonts w:ascii="Times New Roman" w:hAnsi="Times New Roman" w:cs="Times New Roman"/>
              </w:rPr>
              <w:t xml:space="preserve">«При эксплуатации башенных кранов должны соблюдаться требования действующего с 15 февраля 2013 г. на территории Российской Федерации, технического регламента Таможенного союза «О безопасности машин и оборудования» (далее - ТР ТС 010/2011), принятого решением Комиссии Таможенного союза от 18 октября 2011 г. № 823 и требования действующих </w:t>
            </w:r>
          </w:p>
          <w:p w:rsidR="000077E1" w:rsidRPr="00F337F0" w:rsidRDefault="000077E1" w:rsidP="000077E1">
            <w:pPr>
              <w:rPr>
                <w:rFonts w:ascii="Times New Roman" w:hAnsi="Times New Roman" w:cs="Times New Roman"/>
              </w:rPr>
            </w:pPr>
            <w:r w:rsidRPr="00F337F0">
              <w:rPr>
                <w:rFonts w:ascii="Times New Roman" w:hAnsi="Times New Roman" w:cs="Times New Roman"/>
              </w:rPr>
              <w:t>с 7 марта 2014 г.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утвержденных приказом Ростехнадзора от 12 ноября 2013 г. № 533, зарегистрированным Министерством Юстиции Российской Федерации 31 декабря 2013 г., рег. № 30992 (далее - ФНП ПС).</w:t>
            </w:r>
          </w:p>
          <w:p w:rsidR="000077E1" w:rsidRPr="00F337F0" w:rsidRDefault="000077E1" w:rsidP="000077E1">
            <w:pPr>
              <w:rPr>
                <w:rFonts w:ascii="Times New Roman" w:hAnsi="Times New Roman" w:cs="Times New Roman"/>
              </w:rPr>
            </w:pPr>
            <w:r w:rsidRPr="00F337F0">
              <w:rPr>
                <w:rFonts w:ascii="Times New Roman" w:hAnsi="Times New Roman" w:cs="Times New Roman"/>
              </w:rPr>
              <w:t xml:space="preserve">В соответствии с требованием п. 23 ФНП ПС, при эксплуатации подъемных сооружений (далее – ПС) должны соблюдаться требования, изложенные в </w:t>
            </w:r>
          </w:p>
          <w:p w:rsidR="000077E1" w:rsidRPr="00F337F0" w:rsidRDefault="000077E1" w:rsidP="000077E1">
            <w:pPr>
              <w:rPr>
                <w:rFonts w:ascii="Times New Roman" w:hAnsi="Times New Roman" w:cs="Times New Roman"/>
              </w:rPr>
            </w:pPr>
            <w:r w:rsidRPr="00F337F0">
              <w:rPr>
                <w:rFonts w:ascii="Times New Roman" w:hAnsi="Times New Roman" w:cs="Times New Roman"/>
              </w:rPr>
              <w:t>паспорте и руководстве (инструкции) по эксплуатации ПС. Также в соответствии с требованиями п. 14, 15 ст. 5 ТР ТС 010/2011 должны соблюдаться требования, установленные руководством (инструкцией) по эксплуатации, при этом изменения конструкции должны согласовываться с разработчиком (проектировщиком).</w:t>
            </w:r>
          </w:p>
          <w:p w:rsidR="000077E1" w:rsidRPr="00F337F0" w:rsidRDefault="000077E1" w:rsidP="000077E1">
            <w:pPr>
              <w:rPr>
                <w:rFonts w:ascii="Times New Roman" w:hAnsi="Times New Roman" w:cs="Times New Roman"/>
              </w:rPr>
            </w:pPr>
            <w:r w:rsidRPr="00F337F0">
              <w:rPr>
                <w:rFonts w:ascii="Times New Roman" w:hAnsi="Times New Roman" w:cs="Times New Roman"/>
              </w:rPr>
              <w:t>На основании изложенного, оборудование башенных кранов светодиодной лентой (контурной подсветкой, гирляндами и т.д.) может быть осуществлено, если это не противоречит требованиям, изложенным в паспортах и руководствах (инструкциях) по эксплуатации башенных кранов.</w:t>
            </w:r>
          </w:p>
          <w:p w:rsidR="00107735" w:rsidRPr="00F337F0" w:rsidRDefault="000077E1" w:rsidP="000077E1">
            <w:pPr>
              <w:rPr>
                <w:rFonts w:ascii="Times New Roman" w:hAnsi="Times New Roman" w:cs="Times New Roman"/>
              </w:rPr>
            </w:pPr>
            <w:r w:rsidRPr="00F337F0">
              <w:rPr>
                <w:rFonts w:ascii="Times New Roman" w:hAnsi="Times New Roman" w:cs="Times New Roman"/>
              </w:rPr>
              <w:t>Одновременно Управление информирует, что в соответствии с требованиями постановления Правительства Российской Федерации от 13 мая 2013 г. № 407 «Об уполномоченных органах Российской Федерации по обеспечению государственного контроля (надзора) за соблюдением требований технических регламентов Таможенного союза» государственный контроль (надзор) за соблюдением требований технического регламента Таможенного союза «О безопасности машин и оборудования» (ТР ТС 010/2011) в отношении машин и оборудования и связанных с требованиями к этой продукции процессов проектирования и изготовления осуществляет Федеральное агентство по техническому регулированию и метрологии.»</w:t>
            </w:r>
          </w:p>
        </w:tc>
      </w:tr>
    </w:tbl>
    <w:p w:rsidR="009D0FEA" w:rsidRDefault="00F337F0"/>
    <w:sectPr w:rsidR="009D0F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735"/>
    <w:rsid w:val="000077E1"/>
    <w:rsid w:val="00107735"/>
    <w:rsid w:val="002A49A9"/>
    <w:rsid w:val="00414982"/>
    <w:rsid w:val="005B2F70"/>
    <w:rsid w:val="00730FF7"/>
    <w:rsid w:val="00823EF2"/>
    <w:rsid w:val="00837F95"/>
    <w:rsid w:val="00963F27"/>
    <w:rsid w:val="009F2B9E"/>
    <w:rsid w:val="00BA588A"/>
    <w:rsid w:val="00F337F0"/>
    <w:rsid w:val="00FA7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FEC75-FDF5-481E-8556-B5523722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7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7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1333</Words>
  <Characters>7603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Родионова Алена Александровна</dc:creator>
  <cp:keywords/>
  <dc:description/>
  <cp:lastModifiedBy>Родионова Алена Александровна</cp:lastModifiedBy>
  <cp:revision>4</cp:revision>
  <dcterms:created xsi:type="dcterms:W3CDTF">2023-06-05T10:14:00Z</dcterms:created>
  <dcterms:modified xsi:type="dcterms:W3CDTF">2023-10-27T08:52:00Z</dcterms:modified>
</cp:coreProperties>
</file>